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Организация работы по предупреждению производственного травматизма, профессиональных и производственно</w:t>
      </w:r>
      <w:bookmarkStart w:id="0" w:name="_GoBack"/>
      <w:bookmarkEnd w:id="0"/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обусловленных заболеваний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В целях предупреждения производственного травматизма и профессиональных заболеваний работодатель самостоятельно осуществляет учет и рассмотрение обстоятельств и причин, приведших к возникновению микроповреждений (микротравм) работников (</w:t>
      </w:r>
      <w:hyperlink r:id="rId6" w:anchor="/document/12125268/entry/2262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ч. 2 ст. 226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ТК РФ).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Под микроповреждениями (микротравмами) понимаются ссадины, кровоподтеки, ушибы мягких тканей, поверхностные раны и другие повреждения, полученные работниками и другими лицами, участвующими в </w:t>
      </w:r>
      <w:hyperlink r:id="rId7" w:anchor="/document/12125268/entry/2272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производственной деятельности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работодателя (</w:t>
      </w:r>
      <w:hyperlink r:id="rId8" w:anchor="/document/12125268/entry/2261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ч. 1 ст. 226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ТК РФ).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hyperlink r:id="rId9" w:anchor="/document/403383867/entry/1000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Рекомендации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по учету микроповреждений (микротравм) работников утверждены </w:t>
      </w:r>
      <w:hyperlink r:id="rId10" w:anchor="/document/403383867/entry/0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Министерства труда и социальной защиты РФ от 15.09.2021 N 632н.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Организация и участие в проведении специальной оценки условий труда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Согласно </w:t>
      </w:r>
      <w:hyperlink r:id="rId11" w:anchor="/document/12125268/entry/224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ст. 224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ТК РФ участие в проведении специальной оценки условий труда в соответствии с </w:t>
      </w:r>
      <w:hyperlink r:id="rId12" w:anchor="/document/70552676/entry/0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о специальной оценке условий труда. В настоящее время действует </w:t>
      </w:r>
      <w:hyperlink r:id="rId13" w:anchor="/document/70552676/entry/0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Федеральный закон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от 28.12.2013 N 426-ФЗ "О специальной оценке условий труда".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Согласно </w:t>
      </w:r>
      <w:hyperlink r:id="rId14" w:anchor="/document/70552676/entry/83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части 3 ст. 8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Закона N 426-ФЗ специальная оценка условий труда проводится в соответствии с </w:t>
      </w:r>
      <w:hyperlink r:id="rId15" w:anchor="/document/408103613/entry/1000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методикой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ее проведения, утверждаемой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труда, с учетом мнения Российской трехсторонней комиссии по регулированию социально-трудовых отношений.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В настоящее время действует </w:t>
      </w:r>
      <w:hyperlink r:id="rId16" w:anchor="/document/408103613/entry/1000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Методика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проведения специальной оценки условий труда, утвержденная приказом Министерства труда и социальной защиты РФ от 21.11.2023 N 817н.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Организация пропаганды по охране труда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Пропаганда вопросов охраны труда обеспечивается в рамках деятельности кабинета охраны труда и уголка охраны труда. Для этих целей были разработаны Рекомендации по размещению работодателем информационных материалов в целях информирования работников об их трудовых правах, включая право на безопасные условия и охрану труда, утвержденные </w:t>
      </w:r>
      <w:hyperlink r:id="rId17" w:anchor="/document/403305348/entry/0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Министерства труда и социальной защиты РФ от 17.12.2021 N 894 (</w:t>
      </w:r>
      <w:hyperlink r:id="rId18" w:anchor="/document/403305348/entry/101903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подп. "в" п. 19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, далее - Рекомендации), во исполнении </w:t>
      </w:r>
      <w:hyperlink r:id="rId19" w:anchor="/document/12125268/entry/21620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ст. 216.2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 ТК РФ.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</w:t>
      </w: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lastRenderedPageBreak/>
        <w:t>производства работ, в целях контроля за безопасностью производства работ является обязанностью работодателя в соответствии со </w:t>
      </w:r>
      <w:hyperlink r:id="rId20" w:anchor="/document/12125268/entry/214241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ст. 214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ТК РФ.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Организация проведения инструктажей, обучения, проверки знаний требований охраны труда работников организации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Организация проведения обучения по охране труда осуществляется в соответствии со </w:t>
      </w:r>
      <w:hyperlink r:id="rId21" w:anchor="/document/12125268/entry/219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ст. 219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ТК РФ. Для этих целей </w:t>
      </w:r>
      <w:hyperlink r:id="rId22" w:anchor="/document/403324424/entry/0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Правительства РФ от 24.12.2021 N 2464 утверждены </w:t>
      </w:r>
      <w:hyperlink r:id="rId23" w:anchor="/document/403324424/entry/1000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Правила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обучения по охране труда и проверки знания требований охраны труда. Для разработки инструкций, правил охраны труда следует руководствоваться </w:t>
      </w:r>
      <w:hyperlink r:id="rId24" w:anchor="/document/403119113/entry/1000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Основными требованиями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к порядку разработки и содержанию правил и инструкций по охране труда, разрабатываемых работодателем, утвержденными приказом Министерства труда и социальной защиты РФ от 29.10.2021 N 772н.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Планирование мероприятий по охране труда, составление статистической отчетности по установленным формам, </w:t>
      </w:r>
      <w:hyperlink r:id="rId25" w:anchor="/document/77222540/entry/0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ведение документации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по охране труда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Планирование мероприятий по охране труда проводится в рамках системы управления охраны труда в соответствии со </w:t>
      </w:r>
      <w:hyperlink r:id="rId26" w:anchor="/document/12125268/entry/217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ст. 217 - 218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ТК РФ. В этих целях приказом Министерства труда и социальной защиты РФ от 29.10.2021 N 776н утверждено </w:t>
      </w:r>
      <w:hyperlink r:id="rId27" w:anchor="/document/403211292/entry/1000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Примерное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положение о системе управления охраной труда. Планирование направлено на определение необходимого перечня мероприятий по охране труда, проводимых в рамках функционирования процессов (процедур) СУОТ (</w:t>
      </w:r>
      <w:hyperlink r:id="rId28" w:anchor="/document/403211292/entry/1029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п. 29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Примерного положения).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Организация мониторинга состояния условий и охраны труда и государственной статистической отчетности об условиях труда, а также о производственном травматизме, профессиональной заболеваемости и об их материальных последствиях является одним из основных направлений государственной политики в области охраны труда (</w:t>
      </w:r>
      <w:hyperlink r:id="rId29" w:anchor="/document/12125268/entry/210117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ст. 210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ТК РФ). Мониторинг состояния условий и охраны труда организует Минтруд совместно с органами исполнительной власти субъекта.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Формы статистической отчетности по охране труда, применяемые в настоящее время: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- </w:t>
      </w:r>
      <w:hyperlink r:id="rId30" w:anchor="/document/408270893/entry/0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Федеральной службы государственной статистики от 31.07.2023 N 361 "Об утверждении форм федерального статистического наблюдения с указаниями по их заполнению для организации федерального статистического наблюдения в сфере здравоохранения, за травматизмом на производстве и профессиональными заболеваниями";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- </w:t>
      </w:r>
      <w:hyperlink r:id="rId31" w:anchor="/document/410385147/entry/0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Федеральной службы государственной статистики от 31.07.2024 N 338 "Об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организаций, кадров государственной гражданской и муниципальной службы, условиями труда, движением работников, занятостью населения, численностью и потребностью организаций в работниках по профессиональным группам, численностью и заработной платой работников по категориям в организациях социальной сферы и науки".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lastRenderedPageBreak/>
        <w:t>Оперативный контроль за состоянием охраны труда в организации и ее структурных подразделениях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Проводится в рамках системы управления охраны труда (смотрите выше). Сюда можно отнести - ступенчатый контроль и проверки условий охраны труда на рабочих местах специалистом по охране труда. Подробнее смотрите в </w:t>
      </w:r>
      <w:hyperlink r:id="rId32" w:anchor="/document/77449084/entry/0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материале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. Смотрите также </w:t>
      </w:r>
      <w:hyperlink r:id="rId33" w:anchor="/document/72218182/entry/0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Федеральной службы по труду и занятости от 21.03.2019 N 77 "Об утверждении Методических рекомендаций по проверке создания и обеспечения функционирования системы управления охраной труда"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Контроль за соблюдением законов и иных нормативных правовых актов по охране труда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Согласно </w:t>
      </w:r>
      <w:hyperlink r:id="rId34" w:anchor="/document/12125268/entry/37003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части 3 ст. 370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ТК РФ для осуществления контроля за соблюдением трудового законодательства и иных нормативных правовых актов, содержащих нормы трудового права, выполнением условий коллективных договоров, соглашений общероссийские профессиональные союзы и их объединения могут создавать правовые и технические инспекции труда профсоюзов, которые наделяются полномочиями, предусмотренными положениями, утверждаемыми общероссийскими профессиональными союзами и их объединениями: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- </w:t>
      </w:r>
      <w:hyperlink r:id="rId35" w:anchor="/document/70808156/entry/1000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Положение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о технической инспекции труда (приложение к </w:t>
      </w:r>
      <w:hyperlink r:id="rId36" w:anchor="/document/70808156/entry/0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постановлению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Исполнительного комитета Федерации Независимых Профсоюзов России от 13.10.2014 N 5-17);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- </w:t>
      </w:r>
      <w:hyperlink r:id="rId37" w:anchor="/document/70297230/entry/1000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Исполкома Федерации независимых профсоюзов России от 22.11.2011 N 7-15 "О внесении изменений в Типовое положение о правовой инспекции труда профсоюзов";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- </w:t>
      </w:r>
      <w:hyperlink r:id="rId38" w:anchor="/document/405994597/entry/1000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Исполнительного комитета Профсоюза работников народного образования и науки РФ от 28.11.2022 N 14-16 "О внесении изменений в Положение о технической инспекции труда Профсоюза и в Положение об уполномоченном (доверенном) лице по охране труда Профсоюза";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- </w:t>
      </w:r>
      <w:hyperlink r:id="rId39" w:anchor="/document/403499756/entry/1000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Президиума Профессионального союза работников здравоохранения РФ от 23.11.2021 N 2-43 "Об утверждении Положения о технической инспекции труда ЦК Профсоюза работников здравоохранения Российской Федерации".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Участие в организации мероприятий, направленных на улучшение условий труда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Участие в реализации мероприятий, направленных на улучшение условий труда у работодателя является одним из направлений деятельности службы (специалиста) охраны труда (</w:t>
      </w:r>
      <w:hyperlink r:id="rId40" w:anchor="/document/403497634/entry/1067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подп. "ж" п. 6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Рекомендаций по структуре службы охраны труда в организации и по численности работников службы охраны труда, утв. приказом Министерства труда и социальной защиты РФ от 31.01.2022 N 37. Состав таких работ перечислен в </w:t>
      </w:r>
      <w:hyperlink r:id="rId41" w:anchor="/document/403497634/entry/1308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пункте 30.8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данных Рекомендаций: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а) организация хранения документации (актов, формы Н-1, формы 4 и других документов по расследованию несчастных случаев на производстве и профессиональных заболеваний, по учету микроповреждений (микротравм), отчета о проведении специальной оценки условий труда, результатов </w:t>
      </w: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lastRenderedPageBreak/>
        <w:t>производственного контроля условий труда, идентификации опасностей и оценки рисков травмирования) в соответствии со сроками, установленными законодательными и иными нормативными правовыми актами;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б) участие в подготовке, составлении и согласовании раздела "Охрана труда" коллективного договора, отраслевого (межотраслевого) соглашения;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в) определение основных направлений совершенствования условий труда у работодателя;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г) организация и обеспечение структурных подразделений работодателя печатными и электронными версиями локальных нормативных актов по охране труда (правила, инструкции, стандарты и т.п.), плакатами и другими наглядными пособиями по охране труда;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д) организация обмена передовым опытом по охране труда с работниками обособленных структурных подразделений работодателя, либо с другими работодателями, расположенными в других субъектах РФ;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е) организация работы кабинета (уголков) по охране труда (при наличии);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ж) организация информационных мероприятий по охране труда с использованием аудио- и видео- средств, цифровых решений, корпоративных и региональных средств массовой информации, печатной продукции (листовки, буклеты, брошюры, плакаты) и т.д.;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з) организация и проведение лекций, бесед по охране труда, по безопасным методам работы, культуре безопасного труда и т.п.;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и) участие в профильных мероприятиях (конференции, семинары, круглые столы) по охране труда на уровне субъекта РФ и всероссийском уровне.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Смотрите также </w:t>
      </w:r>
      <w:hyperlink r:id="rId42" w:anchor="/document/403158339/entry/1000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Примерный перечень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уровней, утвержденный приказом Министерства труда и социальной защиты РФ от 29.10.2021 N 771н.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Расследование и учет несчастных случаев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Расследование и учет несчастных случаев регулируется </w:t>
      </w:r>
      <w:hyperlink r:id="rId43" w:anchor="/document/12125268/entry/36100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главой 36.1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ТК РФ. В частности, расследование несчастных случав осуществляется в порядке, установленном ТК РФ, а также в соответствии с: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- </w:t>
      </w:r>
      <w:hyperlink r:id="rId44" w:anchor="/document/404960111/entry/1000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расследования и учета случаев профессиональных заболеваний работников, утвержденными постановлением Правительства РФ от 05.07.2022 N 1206;</w:t>
      </w:r>
    </w:p>
    <w:p w:rsidR="006B727E" w:rsidRPr="006B727E" w:rsidRDefault="006B727E" w:rsidP="006B727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- </w:t>
      </w:r>
      <w:hyperlink r:id="rId45" w:anchor="/document/404778833/entry/1000" w:tgtFrame="_blank" w:history="1">
        <w:r w:rsidRPr="006B72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Положением</w:t>
        </w:r>
      </w:hyperlink>
      <w:r w:rsidRPr="006B727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 об особенностях расследования несчастных случаев на производстве в отдельных отраслях и организациях, утвержденным приказом Министерства труда и социальной защиты РФ от 20.04.2022 N 223н.</w:t>
      </w:r>
    </w:p>
    <w:p w:rsidR="00867219" w:rsidRPr="006B727E" w:rsidRDefault="00867219" w:rsidP="006B727E"/>
    <w:sectPr w:rsidR="00867219" w:rsidRPr="006B7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91F" w:rsidRDefault="0088191F" w:rsidP="00867219">
      <w:pPr>
        <w:spacing w:after="0" w:line="240" w:lineRule="auto"/>
      </w:pPr>
      <w:r>
        <w:separator/>
      </w:r>
    </w:p>
  </w:endnote>
  <w:endnote w:type="continuationSeparator" w:id="0">
    <w:p w:rsidR="0088191F" w:rsidRDefault="0088191F" w:rsidP="00867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91F" w:rsidRDefault="0088191F" w:rsidP="00867219">
      <w:pPr>
        <w:spacing w:after="0" w:line="240" w:lineRule="auto"/>
      </w:pPr>
      <w:r>
        <w:separator/>
      </w:r>
    </w:p>
  </w:footnote>
  <w:footnote w:type="continuationSeparator" w:id="0">
    <w:p w:rsidR="0088191F" w:rsidRDefault="0088191F" w:rsidP="008672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FBA"/>
    <w:rsid w:val="005F1ECC"/>
    <w:rsid w:val="0061023E"/>
    <w:rsid w:val="006B727E"/>
    <w:rsid w:val="00704FBA"/>
    <w:rsid w:val="007800BF"/>
    <w:rsid w:val="00867219"/>
    <w:rsid w:val="0088191F"/>
    <w:rsid w:val="008C17C2"/>
    <w:rsid w:val="00CD243E"/>
    <w:rsid w:val="00E7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C1F352-6475-4FF5-9231-57325A08B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1ECC"/>
    <w:rPr>
      <w:color w:val="0000FF"/>
      <w:u w:val="single"/>
    </w:rPr>
  </w:style>
  <w:style w:type="character" w:styleId="a4">
    <w:name w:val="Emphasis"/>
    <w:basedOn w:val="a0"/>
    <w:uiPriority w:val="20"/>
    <w:qFormat/>
    <w:rsid w:val="005F1ECC"/>
    <w:rPr>
      <w:i/>
      <w:iCs/>
    </w:rPr>
  </w:style>
  <w:style w:type="character" w:customStyle="1" w:styleId="s10">
    <w:name w:val="s_10"/>
    <w:basedOn w:val="a0"/>
    <w:rsid w:val="00CD243E"/>
  </w:style>
  <w:style w:type="paragraph" w:styleId="a5">
    <w:name w:val="header"/>
    <w:basedOn w:val="a"/>
    <w:link w:val="a6"/>
    <w:uiPriority w:val="99"/>
    <w:unhideWhenUsed/>
    <w:rsid w:val="00867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7219"/>
  </w:style>
  <w:style w:type="paragraph" w:styleId="a7">
    <w:name w:val="footer"/>
    <w:basedOn w:val="a"/>
    <w:link w:val="a8"/>
    <w:uiPriority w:val="99"/>
    <w:unhideWhenUsed/>
    <w:rsid w:val="008672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7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38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garant.ru/" TargetMode="External"/><Relationship Id="rId13" Type="http://schemas.openxmlformats.org/officeDocument/2006/relationships/hyperlink" Target="https://d.garant.ru/" TargetMode="External"/><Relationship Id="rId18" Type="http://schemas.openxmlformats.org/officeDocument/2006/relationships/hyperlink" Target="https://d.garant.ru/" TargetMode="External"/><Relationship Id="rId26" Type="http://schemas.openxmlformats.org/officeDocument/2006/relationships/hyperlink" Target="https://d.garant.ru/" TargetMode="External"/><Relationship Id="rId39" Type="http://schemas.openxmlformats.org/officeDocument/2006/relationships/hyperlink" Target="https://d.garant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.garant.ru/" TargetMode="External"/><Relationship Id="rId34" Type="http://schemas.openxmlformats.org/officeDocument/2006/relationships/hyperlink" Target="https://d.garant.ru/" TargetMode="External"/><Relationship Id="rId42" Type="http://schemas.openxmlformats.org/officeDocument/2006/relationships/hyperlink" Target="https://d.garant.ru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d.garant.ru/" TargetMode="External"/><Relationship Id="rId12" Type="http://schemas.openxmlformats.org/officeDocument/2006/relationships/hyperlink" Target="https://d.garant.ru/" TargetMode="External"/><Relationship Id="rId17" Type="http://schemas.openxmlformats.org/officeDocument/2006/relationships/hyperlink" Target="https://d.garant.ru/" TargetMode="External"/><Relationship Id="rId25" Type="http://schemas.openxmlformats.org/officeDocument/2006/relationships/hyperlink" Target="https://d.garant.ru/" TargetMode="External"/><Relationship Id="rId33" Type="http://schemas.openxmlformats.org/officeDocument/2006/relationships/hyperlink" Target="https://d.garant.ru/" TargetMode="External"/><Relationship Id="rId38" Type="http://schemas.openxmlformats.org/officeDocument/2006/relationships/hyperlink" Target="https://d.garant.ru/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.garant.ru/" TargetMode="External"/><Relationship Id="rId20" Type="http://schemas.openxmlformats.org/officeDocument/2006/relationships/hyperlink" Target="https://d.garant.ru/" TargetMode="External"/><Relationship Id="rId29" Type="http://schemas.openxmlformats.org/officeDocument/2006/relationships/hyperlink" Target="https://d.garant.ru/" TargetMode="External"/><Relationship Id="rId41" Type="http://schemas.openxmlformats.org/officeDocument/2006/relationships/hyperlink" Target="https://d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d.garant.ru/" TargetMode="External"/><Relationship Id="rId11" Type="http://schemas.openxmlformats.org/officeDocument/2006/relationships/hyperlink" Target="https://d.garant.ru/" TargetMode="External"/><Relationship Id="rId24" Type="http://schemas.openxmlformats.org/officeDocument/2006/relationships/hyperlink" Target="https://d.garant.ru/" TargetMode="External"/><Relationship Id="rId32" Type="http://schemas.openxmlformats.org/officeDocument/2006/relationships/hyperlink" Target="https://d.garant.ru/" TargetMode="External"/><Relationship Id="rId37" Type="http://schemas.openxmlformats.org/officeDocument/2006/relationships/hyperlink" Target="https://d.garant.ru/" TargetMode="External"/><Relationship Id="rId40" Type="http://schemas.openxmlformats.org/officeDocument/2006/relationships/hyperlink" Target="https://d.garant.ru/" TargetMode="External"/><Relationship Id="rId45" Type="http://schemas.openxmlformats.org/officeDocument/2006/relationships/hyperlink" Target="https://d.garant.ru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.garant.ru/" TargetMode="External"/><Relationship Id="rId23" Type="http://schemas.openxmlformats.org/officeDocument/2006/relationships/hyperlink" Target="https://d.garant.ru/" TargetMode="External"/><Relationship Id="rId28" Type="http://schemas.openxmlformats.org/officeDocument/2006/relationships/hyperlink" Target="https://d.garant.ru/" TargetMode="External"/><Relationship Id="rId36" Type="http://schemas.openxmlformats.org/officeDocument/2006/relationships/hyperlink" Target="https://d.garant.ru/" TargetMode="External"/><Relationship Id="rId10" Type="http://schemas.openxmlformats.org/officeDocument/2006/relationships/hyperlink" Target="https://d.garant.ru/" TargetMode="External"/><Relationship Id="rId19" Type="http://schemas.openxmlformats.org/officeDocument/2006/relationships/hyperlink" Target="https://d.garant.ru/" TargetMode="External"/><Relationship Id="rId31" Type="http://schemas.openxmlformats.org/officeDocument/2006/relationships/hyperlink" Target="https://d.garant.ru/" TargetMode="External"/><Relationship Id="rId44" Type="http://schemas.openxmlformats.org/officeDocument/2006/relationships/hyperlink" Target="https://d.garant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.garant.ru/" TargetMode="External"/><Relationship Id="rId14" Type="http://schemas.openxmlformats.org/officeDocument/2006/relationships/hyperlink" Target="https://d.garant.ru/" TargetMode="External"/><Relationship Id="rId22" Type="http://schemas.openxmlformats.org/officeDocument/2006/relationships/hyperlink" Target="https://d.garant.ru/" TargetMode="External"/><Relationship Id="rId27" Type="http://schemas.openxmlformats.org/officeDocument/2006/relationships/hyperlink" Target="https://d.garant.ru/" TargetMode="External"/><Relationship Id="rId30" Type="http://schemas.openxmlformats.org/officeDocument/2006/relationships/hyperlink" Target="https://d.garant.ru/" TargetMode="External"/><Relationship Id="rId35" Type="http://schemas.openxmlformats.org/officeDocument/2006/relationships/hyperlink" Target="https://d.garant.ru/" TargetMode="External"/><Relationship Id="rId43" Type="http://schemas.openxmlformats.org/officeDocument/2006/relationships/hyperlink" Target="https://d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2070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Кашапова Татьяна Евгеньевна</dc:creator>
  <cp:keywords/>
  <dc:description/>
  <cp:lastModifiedBy>Кашапова Татьяна Евгеньевна</cp:lastModifiedBy>
  <cp:revision>5</cp:revision>
  <dcterms:created xsi:type="dcterms:W3CDTF">2025-05-23T05:58:00Z</dcterms:created>
  <dcterms:modified xsi:type="dcterms:W3CDTF">2025-05-30T04:11:00Z</dcterms:modified>
</cp:coreProperties>
</file>